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D8EF0"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noProof/>
          <w:color w:val="000000"/>
          <w:kern w:val="0"/>
          <w:sz w:val="22"/>
          <w:szCs w:val="22"/>
          <w:bdr w:val="none" w:sz="0" w:space="0" w:color="auto" w:frame="1"/>
          <w14:ligatures w14:val="none"/>
        </w:rPr>
        <w:drawing>
          <wp:inline distT="0" distB="0" distL="0" distR="0" wp14:anchorId="4030F04C" wp14:editId="307F71F2">
            <wp:extent cx="2063750" cy="825500"/>
            <wp:effectExtent l="0" t="0" r="0" b="0"/>
            <wp:docPr id="4"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0" cy="825500"/>
                    </a:xfrm>
                    <a:prstGeom prst="rect">
                      <a:avLst/>
                    </a:prstGeom>
                    <a:noFill/>
                    <a:ln>
                      <a:noFill/>
                    </a:ln>
                  </pic:spPr>
                </pic:pic>
              </a:graphicData>
            </a:graphic>
          </wp:inline>
        </w:drawing>
      </w:r>
    </w:p>
    <w:p w14:paraId="0BA14AEF"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sz w:val="22"/>
          <w:szCs w:val="22"/>
          <w14:ligatures w14:val="none"/>
        </w:rPr>
        <w:t> </w:t>
      </w:r>
    </w:p>
    <w:p w14:paraId="45C459B6"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i/>
          <w:iCs/>
          <w:color w:val="000000"/>
          <w:kern w:val="0"/>
          <w:sz w:val="28"/>
          <w:szCs w:val="28"/>
          <w:u w:val="single"/>
          <w14:ligatures w14:val="none"/>
        </w:rPr>
        <w:t>REQUEST FOR PROPOSAL</w:t>
      </w:r>
    </w:p>
    <w:p w14:paraId="18B27F60"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p>
    <w:p w14:paraId="12CD3AB4" w14:textId="3B6A7A83"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To: Architectural </w:t>
      </w:r>
      <w:r>
        <w:rPr>
          <w:rFonts w:ascii="Calibri" w:eastAsia="Times New Roman" w:hAnsi="Calibri" w:cs="Calibri"/>
          <w:color w:val="000000"/>
          <w:kern w:val="0"/>
          <w14:ligatures w14:val="none"/>
        </w:rPr>
        <w:t>/</w:t>
      </w:r>
      <w:r w:rsidRPr="00FC63FB">
        <w:rPr>
          <w:rFonts w:ascii="Calibri" w:eastAsia="Times New Roman" w:hAnsi="Calibri" w:cs="Calibri"/>
          <w:color w:val="000000"/>
          <w:kern w:val="0"/>
          <w14:ligatures w14:val="none"/>
        </w:rPr>
        <w:t>Wayfinding Signage Providers</w:t>
      </w:r>
      <w:r w:rsidRPr="00FC63FB">
        <w:rPr>
          <w:rFonts w:ascii="Calibri" w:eastAsia="Times New Roman" w:hAnsi="Calibri" w:cs="Calibri"/>
          <w:color w:val="000000"/>
          <w:kern w:val="0"/>
          <w14:ligatures w14:val="none"/>
        </w:rPr>
        <w:tab/>
      </w:r>
      <w:r w:rsidRPr="00FC63FB">
        <w:rPr>
          <w:rFonts w:ascii="Calibri" w:eastAsia="Times New Roman" w:hAnsi="Calibri" w:cs="Calibri"/>
          <w:color w:val="000000"/>
          <w:kern w:val="0"/>
          <w14:ligatures w14:val="none"/>
        </w:rPr>
        <w:tab/>
      </w:r>
      <w:r w:rsidRPr="00FC63FB">
        <w:rPr>
          <w:rFonts w:ascii="Calibri" w:eastAsia="Times New Roman" w:hAnsi="Calibri" w:cs="Calibri"/>
          <w:color w:val="000000"/>
          <w:kern w:val="0"/>
          <w14:ligatures w14:val="none"/>
        </w:rPr>
        <w:tab/>
      </w:r>
      <w:r w:rsidRPr="00FC63FB">
        <w:rPr>
          <w:rFonts w:ascii="Calibri" w:eastAsia="Times New Roman" w:hAnsi="Calibri" w:cs="Calibri"/>
          <w:color w:val="000000"/>
          <w:kern w:val="0"/>
          <w14:ligatures w14:val="none"/>
        </w:rPr>
        <w:tab/>
        <w:t xml:space="preserve">Date: </w:t>
      </w:r>
      <w:r w:rsidRPr="00FC63FB">
        <w:rPr>
          <w:rFonts w:ascii="Calibri" w:eastAsia="Times New Roman" w:hAnsi="Calibri" w:cs="Calibri"/>
          <w:color w:val="000000"/>
          <w:kern w:val="0"/>
          <w:shd w:val="clear" w:color="auto" w:fill="FFFF00"/>
          <w14:ligatures w14:val="none"/>
        </w:rPr>
        <w:t>10/2/24</w:t>
      </w:r>
    </w:p>
    <w:p w14:paraId="6651C10A"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From: Gerrie Trussell</w:t>
      </w:r>
      <w:r w:rsidRPr="00FC63FB">
        <w:rPr>
          <w:rFonts w:ascii="Calibri" w:eastAsia="Times New Roman" w:hAnsi="Calibri" w:cs="Calibri"/>
          <w:color w:val="000000"/>
          <w:kern w:val="0"/>
          <w14:ligatures w14:val="none"/>
        </w:rPr>
        <w:tab/>
      </w:r>
    </w:p>
    <w:p w14:paraId="69677891"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Subject: Bankers Hill Community Signage Program service provider sought.</w:t>
      </w:r>
    </w:p>
    <w:p w14:paraId="41894E02"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Request:</w:t>
      </w:r>
    </w:p>
    <w:p w14:paraId="4B827BD1"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The Uptown Community Parking District (UCPD) is soliciting responses to this Request for Proposals for a comprehensive, community-wide signage program for the Bankers Hill neighborhood. UCPD is looking to incorporate signage that reflects and distinguishes the Bankers Hill community as defined in the attached scope of services. </w:t>
      </w:r>
      <w:r w:rsidRPr="00FC63FB">
        <w:rPr>
          <w:rFonts w:ascii="Aptos" w:eastAsia="Times New Roman" w:hAnsi="Aptos" w:cs="Times New Roman"/>
          <w:color w:val="000000"/>
          <w:kern w:val="0"/>
          <w:sz w:val="22"/>
          <w:szCs w:val="22"/>
          <w14:ligatures w14:val="none"/>
        </w:rPr>
        <w:t>If selected, the service provider shall be capable of producing construction design drawings that are permittable by the City of San Diego. Examples may include, but are not limited to, signs marking the entrance to the community on major arterials. After a firm is selected, a scoping meeting can follow.</w:t>
      </w:r>
    </w:p>
    <w:p w14:paraId="67D4D9A4"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Please forward any questions and responses to Executive Director, Gerrie Trussell at email </w:t>
      </w:r>
      <w:hyperlink r:id="rId6" w:history="1">
        <w:r w:rsidRPr="00FC63FB">
          <w:rPr>
            <w:rFonts w:ascii="Calibri" w:eastAsia="Times New Roman" w:hAnsi="Calibri" w:cs="Calibri"/>
            <w:color w:val="1155CC"/>
            <w:kern w:val="0"/>
            <w:u w:val="single"/>
            <w14:ligatures w14:val="none"/>
          </w:rPr>
          <w:t>Gerrie@ParkUptownSD.org</w:t>
        </w:r>
      </w:hyperlink>
    </w:p>
    <w:p w14:paraId="6BAE44D0"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Background:</w:t>
      </w:r>
    </w:p>
    <w:p w14:paraId="1792D068"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The City of San Diego (City) established Community Parking Districts in 1997 which are governed by City Council Policy 100-18. The Uptown Partnership, Inc., dba the Uptown Community Parking District (UCPD) is a 501(c) (3) public benefit non-profit organization that manages the UCPD via an annual agreement with the City. Each year, UCPD develops an Annual Plan &amp; Budget for the Community Parking District that allocates parking meter revenues toward projects that are authorized by the City for the neighborhoods of Bankers Hill, Hillcrest, Mission Hills and International Restaurant Row. </w:t>
      </w:r>
    </w:p>
    <w:p w14:paraId="7651EE89"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Council Policy 100-18: The intent of this Policy is to provide a mechanism whereby communities unable to meet existing parking demands may devise and implement parking management solutions to meet their specific needs and resolve undesirable parking impacts. This Council Policy, subsequent memoranda of law, City Municipal Code &amp; Charter State and Federal Laws guide funding allocations and expenses which are reimbursable by the City for projects within the District.</w:t>
      </w:r>
    </w:p>
    <w:p w14:paraId="10CC4727" w14:textId="77777777" w:rsidR="00FC63FB" w:rsidRDefault="00FC63FB" w:rsidP="00FC63FB">
      <w:pPr>
        <w:spacing w:line="240" w:lineRule="auto"/>
        <w:rPr>
          <w:rFonts w:ascii="Calibri" w:eastAsia="Times New Roman" w:hAnsi="Calibri" w:cs="Calibri"/>
          <w:b/>
          <w:bCs/>
          <w:color w:val="000000"/>
          <w:kern w:val="0"/>
          <w14:ligatures w14:val="none"/>
        </w:rPr>
      </w:pPr>
    </w:p>
    <w:p w14:paraId="2DBFADAE" w14:textId="77777777" w:rsidR="00FC63FB" w:rsidRDefault="00FC63FB" w:rsidP="00FC63FB">
      <w:pPr>
        <w:spacing w:line="240" w:lineRule="auto"/>
        <w:rPr>
          <w:rFonts w:ascii="Calibri" w:eastAsia="Times New Roman" w:hAnsi="Calibri" w:cs="Calibri"/>
          <w:b/>
          <w:bCs/>
          <w:color w:val="000000"/>
          <w:kern w:val="0"/>
          <w14:ligatures w14:val="none"/>
        </w:rPr>
      </w:pPr>
    </w:p>
    <w:p w14:paraId="4038E5EC" w14:textId="07D266D5"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lastRenderedPageBreak/>
        <w:t>Location: </w:t>
      </w:r>
    </w:p>
    <w:p w14:paraId="61D954CA"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Bankers Hill, an Uptown Community – 92103</w:t>
      </w:r>
    </w:p>
    <w:p w14:paraId="6996C337" w14:textId="5ABF261B"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The Bankers Hill neighborhood is generally defined (see Google Maps) by 6</w:t>
      </w:r>
      <w:r w:rsidRPr="00FC63FB">
        <w:rPr>
          <w:rFonts w:ascii="Calibri" w:eastAsia="Times New Roman" w:hAnsi="Calibri" w:cs="Calibri"/>
          <w:color w:val="000000"/>
          <w:kern w:val="0"/>
          <w:sz w:val="14"/>
          <w:szCs w:val="14"/>
          <w:vertAlign w:val="superscript"/>
          <w14:ligatures w14:val="none"/>
        </w:rPr>
        <w:t>th</w:t>
      </w:r>
      <w:r w:rsidRPr="00FC63FB">
        <w:rPr>
          <w:rFonts w:ascii="Calibri" w:eastAsia="Times New Roman" w:hAnsi="Calibri" w:cs="Calibri"/>
          <w:color w:val="000000"/>
          <w:kern w:val="0"/>
          <w14:ligatures w14:val="none"/>
        </w:rPr>
        <w:t xml:space="preserve"> Avenue on the East</w:t>
      </w:r>
      <w:r>
        <w:rPr>
          <w:rFonts w:ascii="Calibri" w:eastAsia="Times New Roman" w:hAnsi="Calibri" w:cs="Calibri"/>
          <w:color w:val="000000"/>
          <w:kern w:val="0"/>
          <w14:ligatures w14:val="none"/>
        </w:rPr>
        <w:t>,</w:t>
      </w:r>
      <w:r w:rsidRPr="00FC63FB">
        <w:rPr>
          <w:rFonts w:ascii="Calibri" w:eastAsia="Times New Roman" w:hAnsi="Calibri" w:cs="Calibri"/>
          <w:color w:val="000000"/>
          <w:kern w:val="0"/>
          <w14:ligatures w14:val="none"/>
        </w:rPr>
        <w:t xml:space="preserve"> the I-5 Freeway on the South, State Street and Reynard Way on the West, and Upas on the North. </w:t>
      </w:r>
    </w:p>
    <w:p w14:paraId="57CBFC28"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p>
    <w:p w14:paraId="479568F1"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Description of Work / Scope of Service:</w:t>
      </w:r>
    </w:p>
    <w:p w14:paraId="49E7BA4B" w14:textId="00FF809D"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The UCPD is seeking an architect </w:t>
      </w:r>
      <w:r>
        <w:rPr>
          <w:rFonts w:ascii="Calibri" w:eastAsia="Times New Roman" w:hAnsi="Calibri" w:cs="Calibri"/>
          <w:color w:val="000000"/>
          <w:kern w:val="0"/>
          <w14:ligatures w14:val="none"/>
        </w:rPr>
        <w:t xml:space="preserve">/ wayfinding signage </w:t>
      </w:r>
      <w:r w:rsidRPr="00FC63FB">
        <w:rPr>
          <w:rFonts w:ascii="Calibri" w:eastAsia="Times New Roman" w:hAnsi="Calibri" w:cs="Calibri"/>
          <w:color w:val="000000"/>
          <w:kern w:val="0"/>
          <w14:ligatures w14:val="none"/>
        </w:rPr>
        <w:t>firm to design a comprehensive Bankers Hill Signage Program.  The response shall include draft design ideas and recommend locations throughout the Bankers Hill neighborhood.  Proposals shall provide a distinct and cohesive community-wide theme of wayfinding signage, including original designs that create a unique sense of place that are reflective of the rapidly emerging chic (upmarket) development and existing historic character. The selected firm shall be responsible for all conceptual and perspective drawings, scaled-plan view and fabrication drawings, and any necessary elevation and footing drawings, also sets of enlarged community outreach renderings.  All concepts, styles, and marker locations shall be submitted to the Bankers Hill Neighborhood Parking Committee for selection.  </w:t>
      </w:r>
    </w:p>
    <w:p w14:paraId="59E2B9CB"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The RFP candidate shall provide a comprehensive community signage program which may include but is not limited to consideration of neighborhood wayfinding signage, a Bankers Hill over-street arch sign, column, roof top, projection, and possible aerial view signage, as well as smaller signage identifying entrance points to Bankers Hill on major traffic arteries or collector streets, bikeways, and trails etc. A larger Bankers Hill focal-point sign concept shall have lights</w:t>
      </w:r>
      <w:r w:rsidRPr="00FC63FB">
        <w:rPr>
          <w:rFonts w:ascii="Arial" w:eastAsia="Times New Roman" w:hAnsi="Arial" w:cs="Arial"/>
          <w:color w:val="222222"/>
          <w:kern w:val="0"/>
          <w:sz w:val="22"/>
          <w:szCs w:val="22"/>
          <w:shd w:val="clear" w:color="auto" w:fill="FFFFFF"/>
          <w14:ligatures w14:val="none"/>
        </w:rPr>
        <w:t xml:space="preserve"> with </w:t>
      </w:r>
      <w:r w:rsidRPr="00FC63FB">
        <w:rPr>
          <w:rFonts w:ascii="Calibri" w:eastAsia="Times New Roman" w:hAnsi="Calibri" w:cs="Calibri"/>
          <w:color w:val="222222"/>
          <w:kern w:val="0"/>
          <w:shd w:val="clear" w:color="auto" w:fill="FFFFFF"/>
          <w14:ligatures w14:val="none"/>
        </w:rPr>
        <w:t xml:space="preserve">RGBW color spectrum capabilities. </w:t>
      </w:r>
      <w:r w:rsidRPr="00FC63FB">
        <w:rPr>
          <w:rFonts w:ascii="Calibri" w:eastAsia="Times New Roman" w:hAnsi="Calibri" w:cs="Calibri"/>
          <w:color w:val="000000"/>
          <w:kern w:val="0"/>
          <w14:ligatures w14:val="none"/>
        </w:rPr>
        <w:t>Submissions should include recent work samples relevant to the needs of this project, Include any history of public art, murals, large scale sign projects. </w:t>
      </w:r>
    </w:p>
    <w:p w14:paraId="69FE85D2"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The selected firm will be responsible for all required insurance costs as well as all liabilities (see attached contractor insurance requirement language).  It is expected that this cost will be included in your quote. Additionally, the chosen firm should be able to navigate and submit for any additional or extraordinary expenses of pre-approved materials or additional scope of work. A detailed description for expanded scope is outlined in “Attachment A”.</w:t>
      </w:r>
    </w:p>
    <w:p w14:paraId="6460CAC3"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Attachment A:</w:t>
      </w:r>
    </w:p>
    <w:p w14:paraId="704F963E" w14:textId="77777777" w:rsidR="00FC63FB" w:rsidRPr="00FC63FB" w:rsidRDefault="00FC63FB" w:rsidP="00FC63FB">
      <w:pPr>
        <w:shd w:val="clear" w:color="auto" w:fill="FFFFFF"/>
        <w:spacing w:after="0" w:line="240" w:lineRule="auto"/>
        <w:rPr>
          <w:rFonts w:ascii="Times New Roman" w:eastAsia="Times New Roman" w:hAnsi="Times New Roman" w:cs="Times New Roman"/>
          <w:kern w:val="0"/>
          <w14:ligatures w14:val="none"/>
        </w:rPr>
      </w:pPr>
      <w:r w:rsidRPr="00FC63FB">
        <w:rPr>
          <w:rFonts w:ascii="Calibri" w:eastAsia="Times New Roman" w:hAnsi="Calibri" w:cs="Calibri"/>
          <w:color w:val="222222"/>
          <w:kern w:val="0"/>
          <w14:ligatures w14:val="none"/>
        </w:rPr>
        <w:t>1.  All materials used should be of a commercial grade, approved and viable for professional outdoor fabrication. </w:t>
      </w:r>
    </w:p>
    <w:p w14:paraId="3843CEF2" w14:textId="77777777" w:rsidR="00FC63FB" w:rsidRPr="00FC63FB" w:rsidRDefault="00FC63FB" w:rsidP="00FC63FB">
      <w:pPr>
        <w:shd w:val="clear" w:color="auto" w:fill="FFFFFF"/>
        <w:spacing w:after="0" w:line="240" w:lineRule="auto"/>
        <w:rPr>
          <w:rFonts w:ascii="Times New Roman" w:eastAsia="Times New Roman" w:hAnsi="Times New Roman" w:cs="Times New Roman"/>
          <w:kern w:val="0"/>
          <w14:ligatures w14:val="none"/>
        </w:rPr>
      </w:pPr>
      <w:r w:rsidRPr="00FC63FB">
        <w:rPr>
          <w:rFonts w:ascii="Calibri" w:eastAsia="Times New Roman" w:hAnsi="Calibri" w:cs="Calibri"/>
          <w:color w:val="222222"/>
          <w:kern w:val="0"/>
          <w14:ligatures w14:val="none"/>
        </w:rPr>
        <w:t>2.  The design of interactions and electrical components are to be compatible with the City of San Diego power source and compliant with City permit requirements.</w:t>
      </w:r>
    </w:p>
    <w:p w14:paraId="1C66EEA9" w14:textId="77777777" w:rsidR="00FC63FB" w:rsidRPr="00FC63FB" w:rsidRDefault="00FC63FB" w:rsidP="00FC63FB">
      <w:pPr>
        <w:shd w:val="clear" w:color="auto" w:fill="FFFFFF"/>
        <w:spacing w:after="0" w:line="240" w:lineRule="auto"/>
        <w:rPr>
          <w:rFonts w:ascii="Times New Roman" w:eastAsia="Times New Roman" w:hAnsi="Times New Roman" w:cs="Times New Roman"/>
          <w:kern w:val="0"/>
          <w14:ligatures w14:val="none"/>
        </w:rPr>
      </w:pPr>
    </w:p>
    <w:p w14:paraId="46303C02" w14:textId="77777777" w:rsidR="001B6A37" w:rsidRDefault="001B6A37" w:rsidP="00FC63FB">
      <w:pPr>
        <w:shd w:val="clear" w:color="auto" w:fill="FFFFFF"/>
        <w:spacing w:after="0" w:line="240" w:lineRule="auto"/>
        <w:rPr>
          <w:rFonts w:ascii="Calibri" w:eastAsia="Times New Roman" w:hAnsi="Calibri" w:cs="Calibri"/>
          <w:b/>
          <w:bCs/>
          <w:color w:val="000000"/>
          <w:kern w:val="0"/>
          <w14:ligatures w14:val="none"/>
        </w:rPr>
      </w:pPr>
    </w:p>
    <w:p w14:paraId="5C515206" w14:textId="77777777" w:rsidR="001B6A37" w:rsidRDefault="001B6A37" w:rsidP="00FC63FB">
      <w:pPr>
        <w:shd w:val="clear" w:color="auto" w:fill="FFFFFF"/>
        <w:spacing w:after="0" w:line="240" w:lineRule="auto"/>
        <w:rPr>
          <w:rFonts w:ascii="Calibri" w:eastAsia="Times New Roman" w:hAnsi="Calibri" w:cs="Calibri"/>
          <w:b/>
          <w:bCs/>
          <w:color w:val="000000"/>
          <w:kern w:val="0"/>
          <w14:ligatures w14:val="none"/>
        </w:rPr>
      </w:pPr>
    </w:p>
    <w:p w14:paraId="2CCD350B" w14:textId="77777777" w:rsidR="001B6A37" w:rsidRDefault="001B6A37" w:rsidP="00FC63FB">
      <w:pPr>
        <w:shd w:val="clear" w:color="auto" w:fill="FFFFFF"/>
        <w:spacing w:after="0" w:line="240" w:lineRule="auto"/>
        <w:rPr>
          <w:rFonts w:ascii="Calibri" w:eastAsia="Times New Roman" w:hAnsi="Calibri" w:cs="Calibri"/>
          <w:b/>
          <w:bCs/>
          <w:color w:val="000000"/>
          <w:kern w:val="0"/>
          <w14:ligatures w14:val="none"/>
        </w:rPr>
      </w:pPr>
    </w:p>
    <w:p w14:paraId="33DE8D95" w14:textId="36C4891F" w:rsidR="00FC63FB" w:rsidRPr="00FC63FB" w:rsidRDefault="00FC63FB" w:rsidP="00FC63FB">
      <w:pPr>
        <w:shd w:val="clear" w:color="auto" w:fill="FFFFFF"/>
        <w:spacing w:after="0"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lastRenderedPageBreak/>
        <w:t>Timelines:</w:t>
      </w:r>
    </w:p>
    <w:p w14:paraId="7BEA4BD7" w14:textId="1C6E6CF5"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 xml:space="preserve">The deadline for responses to this RFP, sent by email to </w:t>
      </w:r>
      <w:hyperlink r:id="rId7" w:history="1">
        <w:r w:rsidRPr="00FC63FB">
          <w:rPr>
            <w:rFonts w:ascii="Calibri" w:eastAsia="Times New Roman" w:hAnsi="Calibri" w:cs="Calibri"/>
            <w:b/>
            <w:bCs/>
            <w:color w:val="0563C1"/>
            <w:kern w:val="0"/>
            <w:u w:val="single"/>
            <w14:ligatures w14:val="none"/>
          </w:rPr>
          <w:t>Gerrie@ParkUptownSD.org</w:t>
        </w:r>
      </w:hyperlink>
      <w:r w:rsidRPr="00FC63FB">
        <w:rPr>
          <w:rFonts w:ascii="Calibri" w:eastAsia="Times New Roman" w:hAnsi="Calibri" w:cs="Calibri"/>
          <w:b/>
          <w:bCs/>
          <w:color w:val="000000"/>
          <w:kern w:val="0"/>
          <w14:ligatures w14:val="none"/>
        </w:rPr>
        <w:t xml:space="preserve"> are requested by</w:t>
      </w:r>
      <w:r w:rsidR="001B6A37">
        <w:rPr>
          <w:rFonts w:ascii="Calibri" w:eastAsia="Times New Roman" w:hAnsi="Calibri" w:cs="Calibri"/>
          <w:b/>
          <w:bCs/>
          <w:color w:val="000000"/>
          <w:kern w:val="0"/>
          <w14:ligatures w14:val="none"/>
        </w:rPr>
        <w:t xml:space="preserve"> </w:t>
      </w:r>
      <w:r w:rsidR="000B7045">
        <w:rPr>
          <w:rFonts w:ascii="Calibri" w:eastAsia="Times New Roman" w:hAnsi="Calibri" w:cs="Calibri"/>
          <w:b/>
          <w:bCs/>
          <w:color w:val="000000"/>
          <w:kern w:val="0"/>
          <w14:ligatures w14:val="none"/>
        </w:rPr>
        <w:t xml:space="preserve">October </w:t>
      </w:r>
      <w:r w:rsidR="00114BC7">
        <w:rPr>
          <w:rFonts w:ascii="Calibri" w:eastAsia="Times New Roman" w:hAnsi="Calibri" w:cs="Calibri"/>
          <w:b/>
          <w:bCs/>
          <w:color w:val="000000"/>
          <w:kern w:val="0"/>
          <w14:ligatures w14:val="none"/>
        </w:rPr>
        <w:t>22, 20</w:t>
      </w:r>
      <w:r w:rsidRPr="00FC63FB">
        <w:rPr>
          <w:rFonts w:ascii="Calibri" w:eastAsia="Times New Roman" w:hAnsi="Calibri" w:cs="Calibri"/>
          <w:b/>
          <w:bCs/>
          <w:color w:val="000000"/>
          <w:kern w:val="0"/>
          <w14:ligatures w14:val="none"/>
        </w:rPr>
        <w:t>24</w:t>
      </w:r>
      <w:r w:rsidRPr="00FC63FB">
        <w:rPr>
          <w:rFonts w:ascii="Calibri" w:eastAsia="Times New Roman" w:hAnsi="Calibri" w:cs="Calibri"/>
          <w:b/>
          <w:bCs/>
          <w:color w:val="000000"/>
          <w:kern w:val="0"/>
          <w:shd w:val="clear" w:color="auto" w:fill="FFFF00"/>
          <w14:ligatures w14:val="none"/>
        </w:rPr>
        <w:t xml:space="preserve"> by 5 pm</w:t>
      </w:r>
      <w:r w:rsidRPr="00FC63FB">
        <w:rPr>
          <w:rFonts w:ascii="Calibri" w:eastAsia="Times New Roman" w:hAnsi="Calibri" w:cs="Calibri"/>
          <w:b/>
          <w:bCs/>
          <w:color w:val="000000"/>
          <w:kern w:val="0"/>
          <w14:ligatures w14:val="none"/>
        </w:rPr>
        <w:t xml:space="preserve"> The Bankers Hill Neighborhood Parking Committee will initially review and The Uptown Community Parking District expects to select a vendor to award by </w:t>
      </w:r>
      <w:r w:rsidRPr="00FC63FB">
        <w:rPr>
          <w:rFonts w:ascii="Calibri" w:eastAsia="Times New Roman" w:hAnsi="Calibri" w:cs="Calibri"/>
          <w:b/>
          <w:bCs/>
          <w:color w:val="000000"/>
          <w:kern w:val="0"/>
          <w:shd w:val="clear" w:color="auto" w:fill="FFFF00"/>
          <w14:ligatures w14:val="none"/>
        </w:rPr>
        <w:t xml:space="preserve">November 11, 2024 </w:t>
      </w:r>
      <w:r w:rsidRPr="00FC63FB">
        <w:rPr>
          <w:rFonts w:ascii="Calibri" w:eastAsia="Times New Roman" w:hAnsi="Calibri" w:cs="Calibri"/>
          <w:b/>
          <w:bCs/>
          <w:color w:val="000000"/>
          <w:kern w:val="0"/>
          <w14:ligatures w14:val="none"/>
        </w:rPr>
        <w:t>and anticipates that the design provider will begin shortly after.  </w:t>
      </w:r>
    </w:p>
    <w:p w14:paraId="666C7894"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Request for Proposal Requirements:</w:t>
      </w:r>
    </w:p>
    <w:p w14:paraId="6A5AC12C"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I.</w:t>
      </w:r>
      <w:r w:rsidRPr="00FC63FB">
        <w:rPr>
          <w:rFonts w:ascii="Calibri" w:eastAsia="Times New Roman" w:hAnsi="Calibri" w:cs="Calibri"/>
          <w:color w:val="000000"/>
          <w:kern w:val="0"/>
          <w14:ligatures w14:val="none"/>
        </w:rPr>
        <w:tab/>
        <w:t>General: The Request for Proposal should be concise, well organized, and demonstrate the respondent’s qualifications and experience applicable to the project.</w:t>
      </w:r>
    </w:p>
    <w:p w14:paraId="36B1950B"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II.</w:t>
      </w:r>
      <w:r w:rsidRPr="00FC63FB">
        <w:rPr>
          <w:rFonts w:ascii="Calibri" w:eastAsia="Times New Roman" w:hAnsi="Calibri" w:cs="Calibri"/>
          <w:color w:val="000000"/>
          <w:kern w:val="0"/>
          <w14:ligatures w14:val="none"/>
        </w:rPr>
        <w:tab/>
        <w:t>Contents: Statements submitted in response to this Request for Proposal shall be in the following order and shall include:</w:t>
      </w:r>
    </w:p>
    <w:p w14:paraId="55AF9B97"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III.    Maintain a $2,000,000 (two million dollar) General Liability policy, listing the City and employees as well as the UCPD as additionally insured.  Maintain workman’s comp insurance on all staff members.</w:t>
      </w:r>
    </w:p>
    <w:p w14:paraId="4CF0CC77"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A.</w:t>
      </w:r>
      <w:r w:rsidRPr="00FC63FB">
        <w:rPr>
          <w:rFonts w:ascii="Calibri" w:eastAsia="Times New Roman" w:hAnsi="Calibri" w:cs="Calibri"/>
          <w:color w:val="000000"/>
          <w:kern w:val="0"/>
          <w14:ligatures w14:val="none"/>
        </w:rPr>
        <w:tab/>
      </w:r>
      <w:r w:rsidRPr="00FC63FB">
        <w:rPr>
          <w:rFonts w:ascii="Calibri" w:eastAsia="Times New Roman" w:hAnsi="Calibri" w:cs="Calibri"/>
          <w:b/>
          <w:bCs/>
          <w:color w:val="000000"/>
          <w:kern w:val="0"/>
          <w14:ligatures w14:val="none"/>
        </w:rPr>
        <w:t>Identification of the Entity and Identity of all Principals</w:t>
      </w:r>
    </w:p>
    <w:p w14:paraId="4CE0DE8D"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1.</w:t>
      </w:r>
      <w:r w:rsidRPr="00FC63FB">
        <w:rPr>
          <w:rFonts w:ascii="Calibri" w:eastAsia="Times New Roman" w:hAnsi="Calibri" w:cs="Calibri"/>
          <w:color w:val="000000"/>
          <w:kern w:val="0"/>
          <w14:ligatures w14:val="none"/>
        </w:rPr>
        <w:tab/>
        <w:t>Legal name, website, and address of company.</w:t>
      </w:r>
    </w:p>
    <w:p w14:paraId="69C6A195"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2.</w:t>
      </w:r>
      <w:r w:rsidRPr="00FC63FB">
        <w:rPr>
          <w:rFonts w:ascii="Calibri" w:eastAsia="Times New Roman" w:hAnsi="Calibri" w:cs="Calibri"/>
          <w:color w:val="000000"/>
          <w:kern w:val="0"/>
          <w14:ligatures w14:val="none"/>
        </w:rPr>
        <w:tab/>
        <w:t>Legal form of entity (partnership, corporation, joint venture, etc.). If submitting as a joint venture, identify the members of the joint venture and provide all information required within this section for each member.</w:t>
      </w:r>
    </w:p>
    <w:p w14:paraId="0431D395"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3.</w:t>
      </w:r>
      <w:r w:rsidRPr="00FC63FB">
        <w:rPr>
          <w:rFonts w:ascii="Calibri" w:eastAsia="Times New Roman" w:hAnsi="Calibri" w:cs="Calibri"/>
          <w:color w:val="000000"/>
          <w:kern w:val="0"/>
          <w14:ligatures w14:val="none"/>
        </w:rPr>
        <w:tab/>
        <w:t>Name, title, mailing address, telephone number, and e-mail address of the person to contact concerning the Request for Proposal.</w:t>
      </w:r>
    </w:p>
    <w:p w14:paraId="068EB7AD"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Request for Proposal Requirements Continued:</w:t>
      </w:r>
    </w:p>
    <w:p w14:paraId="2C291255"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B.</w:t>
      </w:r>
      <w:r w:rsidRPr="00FC63FB">
        <w:rPr>
          <w:rFonts w:ascii="Calibri" w:eastAsia="Times New Roman" w:hAnsi="Calibri" w:cs="Calibri"/>
          <w:color w:val="000000"/>
          <w:kern w:val="0"/>
          <w14:ligatures w14:val="none"/>
        </w:rPr>
        <w:tab/>
      </w:r>
      <w:r w:rsidRPr="00FC63FB">
        <w:rPr>
          <w:rFonts w:ascii="Calibri" w:eastAsia="Times New Roman" w:hAnsi="Calibri" w:cs="Calibri"/>
          <w:b/>
          <w:bCs/>
          <w:color w:val="000000"/>
          <w:kern w:val="0"/>
          <w14:ligatures w14:val="none"/>
        </w:rPr>
        <w:t>Experience and Technical Qualifications</w:t>
      </w:r>
    </w:p>
    <w:p w14:paraId="3EB12058" w14:textId="77777777" w:rsidR="00FC63FB" w:rsidRPr="00FC63FB" w:rsidRDefault="00FC63FB" w:rsidP="00FC63FB">
      <w:pPr>
        <w:spacing w:line="240" w:lineRule="auto"/>
        <w:ind w:left="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Describe the contractor’s experience in completing similar projects. List at least three (3) successfully completed projects of a similar nature, together with the name of the client and project manager, telephone numbers, description of work performed, and value of the consulting contracts. Projects that are currently being performed may be submitted for consideration.</w:t>
      </w:r>
    </w:p>
    <w:p w14:paraId="2C32A52A"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C.     </w:t>
      </w:r>
      <w:r w:rsidRPr="00FC63FB">
        <w:rPr>
          <w:rFonts w:ascii="Calibri" w:eastAsia="Times New Roman" w:hAnsi="Calibri" w:cs="Calibri"/>
          <w:b/>
          <w:bCs/>
          <w:color w:val="000000"/>
          <w:kern w:val="0"/>
          <w14:ligatures w14:val="none"/>
        </w:rPr>
        <w:t>Knowledge and Understanding of Local Environment</w:t>
      </w:r>
    </w:p>
    <w:p w14:paraId="2DF703E4" w14:textId="77777777" w:rsidR="00FC63FB" w:rsidRPr="00FC63FB" w:rsidRDefault="00FC63FB" w:rsidP="00FC63FB">
      <w:pPr>
        <w:spacing w:after="0"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Describe the contractor’s prior experience working with community groups in the San Diego area and perceived ability to work closely with UCPD and City of San Diego’s staff.</w:t>
      </w:r>
    </w:p>
    <w:p w14:paraId="785D0E2D"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p>
    <w:p w14:paraId="24F5D813"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D.     </w:t>
      </w:r>
      <w:r w:rsidRPr="00FC63FB">
        <w:rPr>
          <w:rFonts w:ascii="Calibri" w:eastAsia="Times New Roman" w:hAnsi="Calibri" w:cs="Calibri"/>
          <w:b/>
          <w:bCs/>
          <w:color w:val="000000"/>
          <w:kern w:val="0"/>
          <w14:ligatures w14:val="none"/>
        </w:rPr>
        <w:t>Work Program</w:t>
      </w:r>
    </w:p>
    <w:p w14:paraId="066F10F8" w14:textId="77777777" w:rsidR="00FC63FB" w:rsidRPr="00FC63FB" w:rsidRDefault="00FC63FB" w:rsidP="00FC63FB">
      <w:pPr>
        <w:spacing w:line="240" w:lineRule="auto"/>
        <w:ind w:hanging="45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        The contractor should describe how it proposes to accomplish the work identified in this RFP. While the overall objectives and products of study described in the initial section of this RFP (above) must be accomplished, the contractor may depart from the precise Scope of Services described above, subject to the approval of the UCPD. This detailed work program should be </w:t>
      </w:r>
      <w:r w:rsidRPr="00FC63FB">
        <w:rPr>
          <w:rFonts w:ascii="Calibri" w:eastAsia="Times New Roman" w:hAnsi="Calibri" w:cs="Calibri"/>
          <w:color w:val="000000"/>
          <w:kern w:val="0"/>
          <w14:ligatures w14:val="none"/>
        </w:rPr>
        <w:lastRenderedPageBreak/>
        <w:t>written and in an electronic format that is capable of being incorporated into the project Contract for Services. </w:t>
      </w:r>
    </w:p>
    <w:p w14:paraId="6DEAB92E"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E.     </w:t>
      </w:r>
      <w:r w:rsidRPr="00FC63FB">
        <w:rPr>
          <w:rFonts w:ascii="Calibri" w:eastAsia="Times New Roman" w:hAnsi="Calibri" w:cs="Calibri"/>
          <w:b/>
          <w:bCs/>
          <w:color w:val="000000"/>
          <w:kern w:val="0"/>
          <w14:ligatures w14:val="none"/>
        </w:rPr>
        <w:t>Project Organization and Key Personnel</w:t>
      </w:r>
    </w:p>
    <w:p w14:paraId="60CF17AA" w14:textId="77777777" w:rsidR="00FC63FB" w:rsidRPr="00FC63FB" w:rsidRDefault="00FC63FB" w:rsidP="00FC63FB">
      <w:pPr>
        <w:spacing w:line="240" w:lineRule="auto"/>
        <w:ind w:hanging="72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1.</w:t>
      </w:r>
      <w:r w:rsidRPr="00FC63FB">
        <w:rPr>
          <w:rFonts w:ascii="Calibri" w:eastAsia="Times New Roman" w:hAnsi="Calibri" w:cs="Calibri"/>
          <w:color w:val="000000"/>
          <w:kern w:val="0"/>
          <w14:ligatures w14:val="none"/>
        </w:rPr>
        <w:tab/>
        <w:t>Describe proposed project organization, including the identification and responsibilities of key  personnel. Indicate the role and responsibility of prime contractors and all subcontractors.</w:t>
      </w:r>
    </w:p>
    <w:p w14:paraId="03CBBBA3"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2.</w:t>
      </w:r>
      <w:r w:rsidRPr="00FC63FB">
        <w:rPr>
          <w:rFonts w:ascii="Calibri" w:eastAsia="Times New Roman" w:hAnsi="Calibri" w:cs="Calibri"/>
          <w:color w:val="000000"/>
          <w:kern w:val="0"/>
          <w14:ligatures w14:val="none"/>
        </w:rPr>
        <w:tab/>
        <w:t>Provide a description of the experience and professional licenses, if any, of the</w:t>
      </w:r>
    </w:p>
    <w:p w14:paraId="39EA1EC0" w14:textId="77777777" w:rsidR="00FC63FB" w:rsidRPr="00FC63FB" w:rsidRDefault="00FC63FB" w:rsidP="00FC63FB">
      <w:pPr>
        <w:spacing w:after="0" w:line="240" w:lineRule="auto"/>
        <w:ind w:hanging="81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contractor’s project team, including the team’s project manager, and other key staff members.</w:t>
      </w:r>
    </w:p>
    <w:p w14:paraId="65AA90FA" w14:textId="77777777" w:rsidR="00FC63FB" w:rsidRPr="00FC63FB" w:rsidRDefault="00FC63FB" w:rsidP="00FC63FB">
      <w:pPr>
        <w:spacing w:after="0" w:line="240" w:lineRule="auto"/>
        <w:ind w:hanging="81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Previous and Current Contracts with the City of San Diego or their contracted community partners </w:t>
      </w:r>
    </w:p>
    <w:p w14:paraId="5B88AFDE" w14:textId="77777777" w:rsidR="00FC63FB" w:rsidRPr="00FC63FB" w:rsidRDefault="00FC63FB" w:rsidP="00FC63FB">
      <w:pPr>
        <w:spacing w:after="0" w:line="240" w:lineRule="auto"/>
        <w:ind w:hanging="81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i.e. BIDs, MADs etc.</w:t>
      </w:r>
    </w:p>
    <w:p w14:paraId="25CFCAD1" w14:textId="77777777" w:rsidR="00FC63FB" w:rsidRPr="00FC63FB" w:rsidRDefault="00FC63FB" w:rsidP="00FC63FB">
      <w:pPr>
        <w:spacing w:after="0" w:line="240" w:lineRule="auto"/>
        <w:ind w:hanging="72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F.         Cost Estimates and Cost Breakdown provide an estimate of the total direct and indirect costs to</w:t>
      </w:r>
    </w:p>
    <w:p w14:paraId="2FA46E5F" w14:textId="77777777" w:rsidR="00FC63FB" w:rsidRPr="00FC63FB" w:rsidRDefault="00FC63FB" w:rsidP="00FC63FB">
      <w:pPr>
        <w:spacing w:after="0" w:line="240" w:lineRule="auto"/>
        <w:ind w:hanging="72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complete the tasks identified in the Scope of Required Services (above). A cost breakdown should be provided identifying: </w:t>
      </w:r>
    </w:p>
    <w:p w14:paraId="522B0010" w14:textId="77777777" w:rsidR="00FC63FB" w:rsidRPr="00FC63FB" w:rsidRDefault="00FC63FB" w:rsidP="00FC63FB">
      <w:pPr>
        <w:spacing w:after="0" w:line="240" w:lineRule="auto"/>
        <w:ind w:left="645"/>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1) Number of staff hours and hourly rates for each team member. Rates should be presented</w:t>
      </w:r>
      <w:r w:rsidRPr="00FC63FB">
        <w:rPr>
          <w:rFonts w:ascii="Calibri" w:eastAsia="Times New Roman" w:hAnsi="Calibri" w:cs="Calibri"/>
          <w:b/>
          <w:bCs/>
          <w:color w:val="000000"/>
          <w:kern w:val="0"/>
          <w:sz w:val="28"/>
          <w:szCs w:val="28"/>
          <w14:ligatures w14:val="none"/>
        </w:rPr>
        <w:t xml:space="preserve"> </w:t>
      </w:r>
      <w:r w:rsidRPr="00FC63FB">
        <w:rPr>
          <w:rFonts w:ascii="Calibri" w:eastAsia="Times New Roman" w:hAnsi="Calibri" w:cs="Calibri"/>
          <w:color w:val="000000"/>
          <w:kern w:val="0"/>
          <w14:ligatures w14:val="none"/>
        </w:rPr>
        <w:t>hourly per   employee, to include all fee employee wages, payroll tax, Workers Comp insurance, General Liability insurance, and off-street parking location costs.  </w:t>
      </w:r>
    </w:p>
    <w:p w14:paraId="56AE3F93" w14:textId="77777777" w:rsidR="00FC63FB" w:rsidRPr="00FC63FB" w:rsidRDefault="00FC63FB" w:rsidP="00FC63FB">
      <w:pPr>
        <w:spacing w:after="0" w:line="240" w:lineRule="auto"/>
        <w:ind w:hanging="72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2) Materials breakdown should consist of costs for maintenance and landscape service, water, bark,  </w:t>
      </w:r>
    </w:p>
    <w:p w14:paraId="75C9DB77" w14:textId="77777777" w:rsidR="00FC63FB" w:rsidRPr="00FC63FB" w:rsidRDefault="00FC63FB" w:rsidP="00FC63FB">
      <w:pPr>
        <w:spacing w:after="0" w:line="240" w:lineRule="auto"/>
        <w:ind w:hanging="72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disposal, and all other supplemental costs.</w:t>
      </w:r>
    </w:p>
    <w:p w14:paraId="5BF5681A" w14:textId="77777777" w:rsidR="00FC63FB" w:rsidRPr="00FC63FB" w:rsidRDefault="00FC63FB" w:rsidP="00FC63FB">
      <w:pPr>
        <w:spacing w:after="0" w:line="240" w:lineRule="auto"/>
        <w:ind w:hanging="63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3) An estimate of sub-contractor services, if needed.</w:t>
      </w:r>
      <w:r w:rsidRPr="00FC63FB">
        <w:rPr>
          <w:rFonts w:ascii="Calibri" w:eastAsia="Times New Roman" w:hAnsi="Calibri" w:cs="Calibri"/>
          <w:color w:val="000000"/>
          <w:kern w:val="0"/>
          <w14:ligatures w14:val="none"/>
        </w:rPr>
        <w:tab/>
      </w:r>
    </w:p>
    <w:p w14:paraId="70A7A1A8" w14:textId="77777777" w:rsidR="00FC63FB" w:rsidRPr="00FC63FB" w:rsidRDefault="00FC63FB" w:rsidP="00FC63FB">
      <w:pPr>
        <w:spacing w:after="240" w:line="240" w:lineRule="auto"/>
        <w:rPr>
          <w:rFonts w:ascii="Times New Roman" w:eastAsia="Times New Roman" w:hAnsi="Times New Roman" w:cs="Times New Roman"/>
          <w:kern w:val="0"/>
          <w14:ligatures w14:val="none"/>
        </w:rPr>
      </w:pPr>
    </w:p>
    <w:p w14:paraId="69F19FAB"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sz w:val="28"/>
          <w:szCs w:val="28"/>
          <w14:ligatures w14:val="none"/>
        </w:rPr>
        <w:t>Insurance Requirements:</w:t>
      </w:r>
    </w:p>
    <w:p w14:paraId="758743DA" w14:textId="77777777" w:rsidR="00FC63FB" w:rsidRPr="00FC63FB" w:rsidRDefault="00FC63FB" w:rsidP="00FC63FB">
      <w:pPr>
        <w:spacing w:after="0" w:line="240" w:lineRule="auto"/>
        <w:ind w:right="1152"/>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Contractor shall deliver to City, and ensure that each Subcontractor delivers to City, a current certificate of insurance with attached policy endorsements for:</w:t>
      </w:r>
    </w:p>
    <w:p w14:paraId="6142EF24"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p>
    <w:p w14:paraId="5FDD161D" w14:textId="77777777" w:rsidR="00FC63FB" w:rsidRPr="00FC63FB" w:rsidRDefault="00FC63FB" w:rsidP="00FC63FB">
      <w:pPr>
        <w:spacing w:after="0" w:line="240" w:lineRule="auto"/>
        <w:ind w:right="1152"/>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13.l Commercial General Liability Insurance, providing coverage for bodily injury,  including death, personal injury, and property damage with limits of at least One Million Dollars ($1,000,000) per occurrence, subject to an annual aggregate of at least Two Million Dollars ($2,000,000);</w:t>
      </w:r>
    </w:p>
    <w:p w14:paraId="3FA62ECD"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r w:rsidRPr="00FC63FB">
        <w:rPr>
          <w:rFonts w:ascii="Times New Roman" w:eastAsia="Times New Roman" w:hAnsi="Times New Roman" w:cs="Times New Roman"/>
          <w:kern w:val="0"/>
          <w14:ligatures w14:val="none"/>
        </w:rPr>
        <w:br/>
      </w:r>
    </w:p>
    <w:p w14:paraId="655E4743" w14:textId="77777777" w:rsidR="00FC63FB" w:rsidRPr="00FC63FB" w:rsidRDefault="00FC63FB" w:rsidP="00FC63FB">
      <w:pPr>
        <w:numPr>
          <w:ilvl w:val="0"/>
          <w:numId w:val="1"/>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 xml:space="preserve"> Automobile Liability Insurance, providing coverage for all bodily injury and property damage, with a limit of at least one million dollars ($1,000,000) per occurrence. Such insurance shall cover liability arising out of any vehicle (including owned, hired, and </w:t>
      </w:r>
      <w:proofErr w:type="spellStart"/>
      <w:r w:rsidRPr="00FC63FB">
        <w:rPr>
          <w:rFonts w:ascii="Calibri" w:eastAsia="Times New Roman" w:hAnsi="Calibri" w:cs="Calibri"/>
          <w:color w:val="000000"/>
          <w:kern w:val="0"/>
          <w14:ligatures w14:val="none"/>
        </w:rPr>
        <w:t>non owned</w:t>
      </w:r>
      <w:proofErr w:type="spellEnd"/>
      <w:r w:rsidRPr="00FC63FB">
        <w:rPr>
          <w:rFonts w:ascii="Calibri" w:eastAsia="Times New Roman" w:hAnsi="Calibri" w:cs="Calibri"/>
          <w:color w:val="000000"/>
          <w:kern w:val="0"/>
          <w14:ligatures w14:val="none"/>
        </w:rPr>
        <w:t xml:space="preserve"> vehicles) operated in performing any and all work pursuant to this Agreement.  Coverage shall be written on </w:t>
      </w:r>
      <w:r w:rsidRPr="00FC63FB">
        <w:rPr>
          <w:rFonts w:ascii="Calibri" w:eastAsia="Times New Roman" w:hAnsi="Calibri" w:cs="Calibri"/>
          <w:i/>
          <w:iCs/>
          <w:color w:val="000000"/>
          <w:kern w:val="0"/>
          <w14:ligatures w14:val="none"/>
        </w:rPr>
        <w:t xml:space="preserve">ISO form CA 00 01 12 90, </w:t>
      </w:r>
      <w:r w:rsidRPr="00FC63FB">
        <w:rPr>
          <w:rFonts w:ascii="Calibri" w:eastAsia="Times New Roman" w:hAnsi="Calibri" w:cs="Calibri"/>
          <w:color w:val="000000"/>
          <w:kern w:val="0"/>
          <w14:ligatures w14:val="none"/>
        </w:rPr>
        <w:t>or a substitute form providing equivalent liability coverage; and</w:t>
      </w:r>
    </w:p>
    <w:p w14:paraId="6CE0B88B" w14:textId="77777777" w:rsidR="00FC63FB" w:rsidRPr="00FC63FB" w:rsidRDefault="00FC63FB" w:rsidP="00FC63FB">
      <w:pPr>
        <w:numPr>
          <w:ilvl w:val="0"/>
          <w:numId w:val="2"/>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 Workers' Compensation Insurance, as required by the laws of the State of California for all of Contractor's employees who are subject to this Agreement, with Employers' Liability coverage with a limit of at least One Million Dollars.</w:t>
      </w:r>
    </w:p>
    <w:p w14:paraId="04149939" w14:textId="77777777" w:rsidR="00FC63FB" w:rsidRPr="00FC63FB" w:rsidRDefault="00FC63FB" w:rsidP="00FC63FB">
      <w:pPr>
        <w:numPr>
          <w:ilvl w:val="0"/>
          <w:numId w:val="3"/>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lastRenderedPageBreak/>
        <w:t> Additional Insureds. Pursuant to a separate endorsement, "The City of SanDiego, its elected officials, officers, employees, representatives, and agents “shall be named as additional insureds in all policies.”</w:t>
      </w:r>
    </w:p>
    <w:p w14:paraId="2546C267" w14:textId="77777777" w:rsidR="00FC63FB" w:rsidRPr="00FC63FB" w:rsidRDefault="00FC63FB" w:rsidP="00FC63FB">
      <w:pPr>
        <w:numPr>
          <w:ilvl w:val="0"/>
          <w:numId w:val="4"/>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 Primary &amp; Non-Contributory. Insurance policies shall be endorsed such that the coverage is primary and noncontributory to any coverage carried or self-insurance maintained by the City.</w:t>
      </w:r>
    </w:p>
    <w:p w14:paraId="269CA0B8" w14:textId="77777777" w:rsidR="00FC63FB" w:rsidRPr="00FC63FB" w:rsidRDefault="00FC63FB" w:rsidP="00FC63FB">
      <w:pPr>
        <w:numPr>
          <w:ilvl w:val="0"/>
          <w:numId w:val="5"/>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 Qualified Insurer(s). All insurance required by the terms of this Agreement must be provided  by insurers licensed to do business in the State of California which are rated at least "A</w:t>
      </w:r>
      <w:r w:rsidRPr="00FC63FB">
        <w:rPr>
          <w:rFonts w:ascii="Calibri" w:eastAsia="Times New Roman" w:hAnsi="Calibri" w:cs="Calibri"/>
          <w:color w:val="000000"/>
          <w:kern w:val="0"/>
          <w14:ligatures w14:val="none"/>
        </w:rPr>
        <w:softHyphen/>
        <w:t xml:space="preserve"> ' VI" by the current AM Best Ratings Guide and which are acceptable to the City. Non-admitted surplus lines insurers may be accepted provided they are included on the most recent list of California eligible surplus lines insurers (LESLI list) and otherwise meet City requirements.</w:t>
      </w:r>
    </w:p>
    <w:p w14:paraId="61CE6844" w14:textId="77777777" w:rsidR="00FC63FB" w:rsidRPr="00FC63FB" w:rsidRDefault="00FC63FB" w:rsidP="00FC63FB">
      <w:pPr>
        <w:numPr>
          <w:ilvl w:val="0"/>
          <w:numId w:val="6"/>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 Deductibles/Retentions. All deductibles and self-insured retentions on any insurance policy are the sole responsibility of the selected contractor firm, and must be disclosed and acceptable to the City at the time evidence of insurance is provided.</w:t>
      </w:r>
    </w:p>
    <w:p w14:paraId="4682E619" w14:textId="77777777" w:rsidR="00FC63FB" w:rsidRPr="00FC63FB" w:rsidRDefault="00FC63FB" w:rsidP="00FC63FB">
      <w:pPr>
        <w:numPr>
          <w:ilvl w:val="0"/>
          <w:numId w:val="7"/>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 Continuity of Coverage. All policies shall be effective as of the Effective Date. The policies shall be kept in force for the duration of the Term. At least thirty (30) days prior to the expiration of each insurance policy, Contractor shall furnish a certificate(s) showing that a new or extended policy has been obtained which meets the requirements of this Agreement. Contractor shall provide proof of continuing insurance at least annually during the term of this Agreement. If insurance lapses or is discontinued for any reason, Contractor shall immediately notify City and obtain replacement insurance as soon as possible.</w:t>
      </w:r>
    </w:p>
    <w:p w14:paraId="26C22E6A" w14:textId="77777777" w:rsidR="00FC63FB" w:rsidRPr="00FC63FB" w:rsidRDefault="00FC63FB" w:rsidP="00FC63FB">
      <w:pPr>
        <w:numPr>
          <w:ilvl w:val="0"/>
          <w:numId w:val="8"/>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 Modification. To assure protection from and against the kind and extent of risk existing with the Project, the City, at its discretion, may require the revision of amounts and coverage at any time during the Term by giving Contractor thirty (30) days prior written notice. Contractor shall also obtain any additional insurance required by City for changed circumstances or City's reasonable re-evaluation of risk levels related to the Project.</w:t>
      </w:r>
    </w:p>
    <w:p w14:paraId="027B707A"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r w:rsidRPr="00FC63FB">
        <w:rPr>
          <w:rFonts w:ascii="Times New Roman" w:eastAsia="Times New Roman" w:hAnsi="Times New Roman" w:cs="Times New Roman"/>
          <w:kern w:val="0"/>
          <w14:ligatures w14:val="none"/>
        </w:rPr>
        <w:br/>
      </w:r>
      <w:r w:rsidRPr="00FC63FB">
        <w:rPr>
          <w:rFonts w:ascii="Times New Roman" w:eastAsia="Times New Roman" w:hAnsi="Times New Roman" w:cs="Times New Roman"/>
          <w:kern w:val="0"/>
          <w14:ligatures w14:val="none"/>
        </w:rPr>
        <w:br/>
      </w:r>
    </w:p>
    <w:p w14:paraId="5496B53C" w14:textId="77777777" w:rsidR="00FC63FB" w:rsidRPr="00FC63FB" w:rsidRDefault="00FC63FB" w:rsidP="00FC63FB">
      <w:pPr>
        <w:numPr>
          <w:ilvl w:val="0"/>
          <w:numId w:val="9"/>
        </w:numPr>
        <w:spacing w:after="0" w:line="240" w:lineRule="auto"/>
        <w:ind w:right="1350"/>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Accident Reports. Contractor shall immediately report to the City any accident causing property damage or injury to persons and related to the Project. Such a report shall contain the names and addresses of the involved parties, a statement of the circumstances, the date and hour of the accident, the names and addresses of any witnesses, and other pertinent information.</w:t>
      </w:r>
    </w:p>
    <w:p w14:paraId="34B3B27D" w14:textId="77777777" w:rsidR="00FC63FB" w:rsidRPr="00FC63FB" w:rsidRDefault="00FC63FB" w:rsidP="00FC63FB">
      <w:pPr>
        <w:numPr>
          <w:ilvl w:val="0"/>
          <w:numId w:val="10"/>
        </w:numPr>
        <w:spacing w:after="0" w:line="240" w:lineRule="auto"/>
        <w:ind w:right="1152"/>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Causes of Loss - Special Form Property Insurance</w:t>
      </w:r>
      <w:r w:rsidRPr="00FC63FB">
        <w:rPr>
          <w:rFonts w:ascii="Calibri" w:eastAsia="Times New Roman" w:hAnsi="Calibri" w:cs="Calibri"/>
          <w:color w:val="000000"/>
          <w:kern w:val="0"/>
          <w:u w:val="single"/>
          <w14:ligatures w14:val="none"/>
        </w:rPr>
        <w:t>.</w:t>
      </w:r>
      <w:r w:rsidRPr="00FC63FB">
        <w:rPr>
          <w:rFonts w:ascii="Calibri" w:eastAsia="Times New Roman" w:hAnsi="Calibri" w:cs="Calibri"/>
          <w:color w:val="000000"/>
          <w:kern w:val="0"/>
          <w14:ligatures w14:val="none"/>
        </w:rPr>
        <w:t xml:space="preserve"> Contractor shall obtain and maintain at its sole cost Causes of Loss - Special Form Property Insurance on all of Contractor's insurable property related to the UCPD in an amount to cover 100 percent (100%) of the replacement cost. Contractor shall deliver to the City a certificate of such insurance.</w:t>
      </w:r>
    </w:p>
    <w:p w14:paraId="6CD34145" w14:textId="77777777" w:rsidR="00FC63FB" w:rsidRPr="00FC63FB" w:rsidRDefault="00FC63FB" w:rsidP="00FC63FB">
      <w:pPr>
        <w:numPr>
          <w:ilvl w:val="0"/>
          <w:numId w:val="11"/>
        </w:numPr>
        <w:spacing w:after="0" w:line="240" w:lineRule="auto"/>
        <w:ind w:right="1152"/>
        <w:jc w:val="center"/>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lastRenderedPageBreak/>
        <w:t>Subcontractors' Insurance. Contractor shall ensure that each Subcontractor complies with the insurance provisions of this Agreement as if the Subcontractor were    </w:t>
      </w:r>
    </w:p>
    <w:p w14:paraId="7F7BE86D" w14:textId="77777777" w:rsidR="00FC63FB" w:rsidRPr="00FC63FB" w:rsidRDefault="00FC63FB" w:rsidP="00FC63FB">
      <w:pPr>
        <w:spacing w:after="0" w:line="240" w:lineRule="auto"/>
        <w:ind w:left="1152" w:right="1152"/>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Contractor. Contractor and each Subcontractor shall be individually responsible   </w:t>
      </w:r>
    </w:p>
    <w:p w14:paraId="4F90A13F"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for obtaining and maintaining their own insurance.</w:t>
      </w:r>
      <w:r w:rsidRPr="00FC63FB">
        <w:rPr>
          <w:rFonts w:ascii="Calibri" w:eastAsia="Times New Roman" w:hAnsi="Calibri" w:cs="Calibri"/>
          <w:color w:val="413F3F"/>
          <w:kern w:val="0"/>
          <w14:ligatures w14:val="none"/>
        </w:rPr>
        <w:br/>
      </w:r>
    </w:p>
    <w:p w14:paraId="7A86CD44"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Contractor Nominating and Selection Process:</w:t>
      </w:r>
    </w:p>
    <w:p w14:paraId="207DB2AD" w14:textId="77777777" w:rsidR="00FC63FB" w:rsidRPr="00FC63FB" w:rsidRDefault="00FC63FB" w:rsidP="00FC63FB">
      <w:pPr>
        <w:numPr>
          <w:ilvl w:val="0"/>
          <w:numId w:val="12"/>
        </w:numPr>
        <w:spacing w:after="0" w:line="240" w:lineRule="auto"/>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Based upon the submitted Request for Proposal, UCPD staff and committee members may identify a short-list of qualified contractors for this project. UCPD reserves the right to make final contractor selection based solely upon evaluation of the written RFQs, without short-listing contractors or conducting oral interviews.</w:t>
      </w:r>
    </w:p>
    <w:p w14:paraId="113C4BD3" w14:textId="77777777" w:rsidR="00FC63FB" w:rsidRPr="00FC63FB" w:rsidRDefault="00FC63FB" w:rsidP="00FC63FB">
      <w:pPr>
        <w:numPr>
          <w:ilvl w:val="0"/>
          <w:numId w:val="13"/>
        </w:numPr>
        <w:spacing w:after="0" w:line="240" w:lineRule="auto"/>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UCPD staff and committee members may also interview the short-listed contractors. Based upon the RFP and interview, staff will rank the finalists based on qualifications and recommend the selected contractor to the Board of Directors, which has final authority for selection.</w:t>
      </w:r>
    </w:p>
    <w:p w14:paraId="5135A13D" w14:textId="77777777" w:rsidR="00FC63FB" w:rsidRPr="00FC63FB" w:rsidRDefault="00FC63FB" w:rsidP="00FC63FB">
      <w:pPr>
        <w:numPr>
          <w:ilvl w:val="0"/>
          <w:numId w:val="14"/>
        </w:numPr>
        <w:spacing w:after="0" w:line="240" w:lineRule="auto"/>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After this selection has been made, the UCPD will proceed to other negotiations with the entity. The  negotiations will cover: scope of work, contract schedule, contract terms and conditions, technical specifications, and price. If the negotiating teams are unable to reach an acceptable agreement with the selected contractor, the negotiating team may recommend that negotiations be terminated, and that negotiations be initiated with the next ranked contractor.</w:t>
      </w:r>
    </w:p>
    <w:p w14:paraId="117774DC" w14:textId="77777777" w:rsidR="00FC63FB" w:rsidRPr="00FC63FB" w:rsidRDefault="00FC63FB" w:rsidP="00FC63FB">
      <w:pPr>
        <w:numPr>
          <w:ilvl w:val="0"/>
          <w:numId w:val="15"/>
        </w:numPr>
        <w:spacing w:after="0" w:line="240" w:lineRule="auto"/>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After negotiating a fair and reasonable proposed agreement, the Bankers Hill Neighborhood Parking Committee will recommend its approval to the UCPD Board of Directors.</w:t>
      </w:r>
    </w:p>
    <w:p w14:paraId="2ECACB47" w14:textId="77777777" w:rsidR="00FC63FB" w:rsidRPr="00FC63FB" w:rsidRDefault="00FC63FB" w:rsidP="00FC63FB">
      <w:pPr>
        <w:numPr>
          <w:ilvl w:val="0"/>
          <w:numId w:val="16"/>
        </w:numPr>
        <w:spacing w:after="0" w:line="240" w:lineRule="auto"/>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The contract will then be submitted to the City of San Diego. Final authority to approve the agreement rests ultimately with the City of San Diego.</w:t>
      </w:r>
    </w:p>
    <w:p w14:paraId="34E534D7"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p>
    <w:p w14:paraId="5828F1F9"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Proposal Evaluation Criteria:</w:t>
      </w:r>
      <w:r w:rsidRPr="00FC63FB">
        <w:rPr>
          <w:rFonts w:ascii="Calibri" w:eastAsia="Times New Roman" w:hAnsi="Calibri" w:cs="Calibri"/>
          <w:color w:val="000000"/>
          <w:kern w:val="0"/>
          <w:sz w:val="20"/>
          <w:szCs w:val="20"/>
          <w14:ligatures w14:val="none"/>
        </w:rPr>
        <w:t> </w:t>
      </w:r>
    </w:p>
    <w:p w14:paraId="35D7BD71"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Contractors will be considered and evaluated on the following criteria:</w:t>
      </w:r>
    </w:p>
    <w:p w14:paraId="308B65AE" w14:textId="77777777" w:rsidR="00FC63FB" w:rsidRPr="00FC63FB" w:rsidRDefault="00FC63FB" w:rsidP="00FC63FB">
      <w:pPr>
        <w:numPr>
          <w:ilvl w:val="0"/>
          <w:numId w:val="17"/>
        </w:numPr>
        <w:spacing w:after="0" w:line="240" w:lineRule="auto"/>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Experience and technical qualifications of the contractor and potential subcontractors in completing the Request / Scope of Work and related services;</w:t>
      </w:r>
    </w:p>
    <w:p w14:paraId="6EC87E94" w14:textId="77777777" w:rsidR="00FC63FB" w:rsidRPr="00FC63FB" w:rsidRDefault="00FC63FB" w:rsidP="00FC63FB">
      <w:pPr>
        <w:numPr>
          <w:ilvl w:val="0"/>
          <w:numId w:val="18"/>
        </w:numPr>
        <w:spacing w:after="0" w:line="240" w:lineRule="auto"/>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Prior experience of the participating contractors in completing joint projects, if subcontractors are  </w:t>
      </w:r>
    </w:p>
    <w:p w14:paraId="1CACE0B7" w14:textId="77777777" w:rsidR="00FC63FB" w:rsidRPr="00FC63FB" w:rsidRDefault="00FC63FB" w:rsidP="00FC63FB">
      <w:pPr>
        <w:spacing w:after="0" w:line="240" w:lineRule="auto"/>
        <w:ind w:left="108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proposed;</w:t>
      </w:r>
    </w:p>
    <w:p w14:paraId="2F358427" w14:textId="77777777" w:rsidR="00FC63FB" w:rsidRPr="00FC63FB" w:rsidRDefault="00FC63FB" w:rsidP="00FC63FB">
      <w:pPr>
        <w:numPr>
          <w:ilvl w:val="0"/>
          <w:numId w:val="19"/>
        </w:numPr>
        <w:spacing w:after="0" w:line="240" w:lineRule="auto"/>
        <w:textAlignment w:val="baseline"/>
        <w:rPr>
          <w:rFonts w:ascii="Calibri" w:eastAsia="Times New Roman" w:hAnsi="Calibri" w:cs="Calibri"/>
          <w:color w:val="000000"/>
          <w:kern w:val="0"/>
          <w14:ligatures w14:val="none"/>
        </w:rPr>
      </w:pPr>
      <w:r w:rsidRPr="00FC63FB">
        <w:rPr>
          <w:rFonts w:ascii="Calibri" w:eastAsia="Times New Roman" w:hAnsi="Calibri" w:cs="Calibri"/>
          <w:color w:val="000000"/>
          <w:kern w:val="0"/>
          <w14:ligatures w14:val="none"/>
        </w:rPr>
        <w:t>Knowledge and understanding of the local environment.</w:t>
      </w:r>
    </w:p>
    <w:p w14:paraId="331BA46F" w14:textId="77777777" w:rsidR="00FC63FB" w:rsidRPr="00FC63FB" w:rsidRDefault="00FC63FB" w:rsidP="00FC63FB">
      <w:pPr>
        <w:spacing w:after="0" w:line="240" w:lineRule="auto"/>
        <w:ind w:firstLine="36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IV.        Adequacy of the proposed detail of the BH Community Signage Program; designs etc.</w:t>
      </w:r>
    </w:p>
    <w:p w14:paraId="46800F1D" w14:textId="77777777" w:rsidR="00FC63FB" w:rsidRPr="00FC63FB" w:rsidRDefault="00FC63FB" w:rsidP="00FC63FB">
      <w:pPr>
        <w:spacing w:after="0" w:line="240" w:lineRule="auto"/>
        <w:ind w:firstLine="360"/>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 V. </w:t>
      </w:r>
      <w:r w:rsidRPr="00FC63FB">
        <w:rPr>
          <w:rFonts w:ascii="Calibri" w:eastAsia="Times New Roman" w:hAnsi="Calibri" w:cs="Calibri"/>
          <w:color w:val="000000"/>
          <w:kern w:val="0"/>
          <w14:ligatures w14:val="none"/>
        </w:rPr>
        <w:tab/>
        <w:t>      Project Cost.</w:t>
      </w:r>
    </w:p>
    <w:p w14:paraId="39D0AEBE" w14:textId="77777777" w:rsidR="00FC63FB" w:rsidRPr="00FC63FB" w:rsidRDefault="00FC63FB" w:rsidP="00FC63FB">
      <w:pPr>
        <w:spacing w:after="0" w:line="240" w:lineRule="auto"/>
        <w:rPr>
          <w:rFonts w:ascii="Times New Roman" w:eastAsia="Times New Roman" w:hAnsi="Times New Roman" w:cs="Times New Roman"/>
          <w:kern w:val="0"/>
          <w14:ligatures w14:val="none"/>
        </w:rPr>
      </w:pPr>
    </w:p>
    <w:p w14:paraId="15CC7562"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Special Conditions</w:t>
      </w:r>
    </w:p>
    <w:p w14:paraId="5FBFF995"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I.</w:t>
      </w:r>
      <w:r w:rsidRPr="00FC63FB">
        <w:rPr>
          <w:rFonts w:ascii="Calibri" w:eastAsia="Times New Roman" w:hAnsi="Calibri" w:cs="Calibri"/>
          <w:b/>
          <w:bCs/>
          <w:color w:val="000000"/>
          <w:kern w:val="0"/>
          <w14:ligatures w14:val="none"/>
        </w:rPr>
        <w:tab/>
        <w:t>Reservations</w:t>
      </w:r>
    </w:p>
    <w:p w14:paraId="62D69FD2"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This Request for Proposal (RFP) is neither intended to expect to obligate UCPD to award a contract, nor to defray any costs incurred in the preparation of a proposal pursuant to this RFP, </w:t>
      </w:r>
      <w:r w:rsidRPr="00FC63FB">
        <w:rPr>
          <w:rFonts w:ascii="Calibri" w:eastAsia="Times New Roman" w:hAnsi="Calibri" w:cs="Calibri"/>
          <w:color w:val="000000"/>
          <w:kern w:val="0"/>
          <w14:ligatures w14:val="none"/>
        </w:rPr>
        <w:lastRenderedPageBreak/>
        <w:t>nor that UCPD nor the City of San Diego assumes any liability or responsibility (express or implied) arising out of this process.</w:t>
      </w:r>
    </w:p>
    <w:p w14:paraId="5EBE1B32"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No retroactive reimbursement will be made or considered for any costs incurred in preparing a response to this RFP.</w:t>
      </w:r>
    </w:p>
    <w:p w14:paraId="3E263A2F"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II.</w:t>
      </w:r>
      <w:r w:rsidRPr="00FC63FB">
        <w:rPr>
          <w:rFonts w:ascii="Calibri" w:eastAsia="Times New Roman" w:hAnsi="Calibri" w:cs="Calibri"/>
          <w:b/>
          <w:bCs/>
          <w:color w:val="000000"/>
          <w:kern w:val="0"/>
          <w14:ligatures w14:val="none"/>
        </w:rPr>
        <w:tab/>
        <w:t>Public Records</w:t>
      </w:r>
    </w:p>
    <w:p w14:paraId="5B9301ED"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All responses submitted to this Request for Proposals become the property of UCPD and its public records. As public records, these responses may be subject to public review following the selection of any contractor. The responses, however, will remain confidential during the review process.</w:t>
      </w:r>
    </w:p>
    <w:p w14:paraId="31BDCDAC"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III.</w:t>
      </w:r>
      <w:r w:rsidRPr="00FC63FB">
        <w:rPr>
          <w:rFonts w:ascii="Calibri" w:eastAsia="Times New Roman" w:hAnsi="Calibri" w:cs="Calibri"/>
          <w:b/>
          <w:bCs/>
          <w:color w:val="000000"/>
          <w:kern w:val="0"/>
          <w14:ligatures w14:val="none"/>
        </w:rPr>
        <w:tab/>
        <w:t>Right to Cancel</w:t>
      </w:r>
    </w:p>
    <w:p w14:paraId="5987FA87"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UCPD reserves the unqualified right to cancel or modify, in whole or in part, this Request for Proposals, including the selection schedule, submittal date, and submittal requirements notice in writing.</w:t>
      </w:r>
    </w:p>
    <w:p w14:paraId="50A2EBFA"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IV.</w:t>
      </w:r>
      <w:r w:rsidRPr="00FC63FB">
        <w:rPr>
          <w:rFonts w:ascii="Calibri" w:eastAsia="Times New Roman" w:hAnsi="Calibri" w:cs="Calibri"/>
          <w:b/>
          <w:bCs/>
          <w:color w:val="000000"/>
          <w:kern w:val="0"/>
          <w14:ligatures w14:val="none"/>
        </w:rPr>
        <w:tab/>
        <w:t>Compliance with Federal, State and Local Law</w:t>
      </w:r>
    </w:p>
    <w:p w14:paraId="1543B4FB"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All respondents to this Request for Proposal agree to conform to existing State, Federal or local law relating to proposal disclosures and the ethical obligations required for all prospective contractors with public entities.</w:t>
      </w:r>
    </w:p>
    <w:p w14:paraId="6182CEE2"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b/>
          <w:bCs/>
          <w:color w:val="000000"/>
          <w:kern w:val="0"/>
          <w14:ligatures w14:val="none"/>
        </w:rPr>
        <w:t>V.</w:t>
      </w:r>
      <w:r w:rsidRPr="00FC63FB">
        <w:rPr>
          <w:rFonts w:ascii="Calibri" w:eastAsia="Times New Roman" w:hAnsi="Calibri" w:cs="Calibri"/>
          <w:b/>
          <w:bCs/>
          <w:color w:val="000000"/>
          <w:kern w:val="0"/>
          <w14:ligatures w14:val="none"/>
        </w:rPr>
        <w:tab/>
        <w:t>Additional Information</w:t>
      </w:r>
    </w:p>
    <w:p w14:paraId="72479BCD" w14:textId="77777777" w:rsidR="00FC63FB" w:rsidRPr="00FC63FB" w:rsidRDefault="00FC63FB" w:rsidP="00FC63FB">
      <w:pPr>
        <w:spacing w:line="240" w:lineRule="auto"/>
        <w:rPr>
          <w:rFonts w:ascii="Times New Roman" w:eastAsia="Times New Roman" w:hAnsi="Times New Roman" w:cs="Times New Roman"/>
          <w:kern w:val="0"/>
          <w14:ligatures w14:val="none"/>
        </w:rPr>
      </w:pPr>
      <w:r w:rsidRPr="00FC63FB">
        <w:rPr>
          <w:rFonts w:ascii="Calibri" w:eastAsia="Times New Roman" w:hAnsi="Calibri" w:cs="Calibri"/>
          <w:color w:val="000000"/>
          <w:kern w:val="0"/>
          <w14:ligatures w14:val="none"/>
        </w:rPr>
        <w:t xml:space="preserve">UCPD reserves the right to request additional information and/or clarification from all respondents’ submissions to this RFQ/RFP. </w:t>
      </w:r>
      <w:r w:rsidRPr="00FC63FB">
        <w:rPr>
          <w:rFonts w:ascii="Calibri" w:eastAsia="Times New Roman" w:hAnsi="Calibri" w:cs="Calibri"/>
          <w:color w:val="000000"/>
          <w:kern w:val="0"/>
          <w:sz w:val="22"/>
          <w:szCs w:val="22"/>
          <w14:ligatures w14:val="none"/>
        </w:rPr>
        <w:t xml:space="preserve">All </w:t>
      </w:r>
      <w:r w:rsidRPr="00FC63FB">
        <w:rPr>
          <w:rFonts w:ascii="Calibri" w:eastAsia="Times New Roman" w:hAnsi="Calibri" w:cs="Calibri"/>
          <w:color w:val="000000"/>
          <w:kern w:val="0"/>
          <w14:ligatures w14:val="none"/>
        </w:rPr>
        <w:t>drawings submitted by the applicant shall be the property of the UCPD.</w:t>
      </w:r>
    </w:p>
    <w:p w14:paraId="1DF270BC" w14:textId="77777777" w:rsidR="00FC63FB" w:rsidRDefault="00FC63FB"/>
    <w:sectPr w:rsidR="00FC6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74A80"/>
    <w:multiLevelType w:val="multilevel"/>
    <w:tmpl w:val="8B8E4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E50053"/>
    <w:multiLevelType w:val="multilevel"/>
    <w:tmpl w:val="2698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94553"/>
    <w:multiLevelType w:val="multilevel"/>
    <w:tmpl w:val="7D7E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EB58EB"/>
    <w:multiLevelType w:val="multilevel"/>
    <w:tmpl w:val="D1B21B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1A1F3A"/>
    <w:multiLevelType w:val="hybridMultilevel"/>
    <w:tmpl w:val="72EEB3CE"/>
    <w:lvl w:ilvl="0" w:tplc="8BA48948">
      <w:start w:val="3"/>
      <w:numFmt w:val="upperRoman"/>
      <w:lvlText w:val="%1."/>
      <w:lvlJc w:val="right"/>
      <w:pPr>
        <w:tabs>
          <w:tab w:val="num" w:pos="720"/>
        </w:tabs>
        <w:ind w:left="720" w:hanging="360"/>
      </w:pPr>
    </w:lvl>
    <w:lvl w:ilvl="1" w:tplc="F578B11E" w:tentative="1">
      <w:start w:val="1"/>
      <w:numFmt w:val="decimal"/>
      <w:lvlText w:val="%2."/>
      <w:lvlJc w:val="left"/>
      <w:pPr>
        <w:tabs>
          <w:tab w:val="num" w:pos="1440"/>
        </w:tabs>
        <w:ind w:left="1440" w:hanging="360"/>
      </w:pPr>
    </w:lvl>
    <w:lvl w:ilvl="2" w:tplc="5A5CE6CC" w:tentative="1">
      <w:start w:val="1"/>
      <w:numFmt w:val="decimal"/>
      <w:lvlText w:val="%3."/>
      <w:lvlJc w:val="left"/>
      <w:pPr>
        <w:tabs>
          <w:tab w:val="num" w:pos="2160"/>
        </w:tabs>
        <w:ind w:left="2160" w:hanging="360"/>
      </w:pPr>
    </w:lvl>
    <w:lvl w:ilvl="3" w:tplc="C22CA7C2" w:tentative="1">
      <w:start w:val="1"/>
      <w:numFmt w:val="decimal"/>
      <w:lvlText w:val="%4."/>
      <w:lvlJc w:val="left"/>
      <w:pPr>
        <w:tabs>
          <w:tab w:val="num" w:pos="2880"/>
        </w:tabs>
        <w:ind w:left="2880" w:hanging="360"/>
      </w:pPr>
    </w:lvl>
    <w:lvl w:ilvl="4" w:tplc="27DEFDCE" w:tentative="1">
      <w:start w:val="1"/>
      <w:numFmt w:val="decimal"/>
      <w:lvlText w:val="%5."/>
      <w:lvlJc w:val="left"/>
      <w:pPr>
        <w:tabs>
          <w:tab w:val="num" w:pos="3600"/>
        </w:tabs>
        <w:ind w:left="3600" w:hanging="360"/>
      </w:pPr>
    </w:lvl>
    <w:lvl w:ilvl="5" w:tplc="6AE65398" w:tentative="1">
      <w:start w:val="1"/>
      <w:numFmt w:val="decimal"/>
      <w:lvlText w:val="%6."/>
      <w:lvlJc w:val="left"/>
      <w:pPr>
        <w:tabs>
          <w:tab w:val="num" w:pos="4320"/>
        </w:tabs>
        <w:ind w:left="4320" w:hanging="360"/>
      </w:pPr>
    </w:lvl>
    <w:lvl w:ilvl="6" w:tplc="6EFC3138" w:tentative="1">
      <w:start w:val="1"/>
      <w:numFmt w:val="decimal"/>
      <w:lvlText w:val="%7."/>
      <w:lvlJc w:val="left"/>
      <w:pPr>
        <w:tabs>
          <w:tab w:val="num" w:pos="5040"/>
        </w:tabs>
        <w:ind w:left="5040" w:hanging="360"/>
      </w:pPr>
    </w:lvl>
    <w:lvl w:ilvl="7" w:tplc="AE72CD3A" w:tentative="1">
      <w:start w:val="1"/>
      <w:numFmt w:val="decimal"/>
      <w:lvlText w:val="%8."/>
      <w:lvlJc w:val="left"/>
      <w:pPr>
        <w:tabs>
          <w:tab w:val="num" w:pos="5760"/>
        </w:tabs>
        <w:ind w:left="5760" w:hanging="360"/>
      </w:pPr>
    </w:lvl>
    <w:lvl w:ilvl="8" w:tplc="A8380BA8" w:tentative="1">
      <w:start w:val="1"/>
      <w:numFmt w:val="decimal"/>
      <w:lvlText w:val="%9."/>
      <w:lvlJc w:val="left"/>
      <w:pPr>
        <w:tabs>
          <w:tab w:val="num" w:pos="6480"/>
        </w:tabs>
        <w:ind w:left="6480" w:hanging="360"/>
      </w:pPr>
    </w:lvl>
  </w:abstractNum>
  <w:num w:numId="1" w16cid:durableId="34353620">
    <w:abstractNumId w:val="0"/>
    <w:lvlOverride w:ilvl="0">
      <w:lvl w:ilvl="0">
        <w:numFmt w:val="decimal"/>
        <w:lvlText w:val="%1."/>
        <w:lvlJc w:val="left"/>
      </w:lvl>
    </w:lvlOverride>
  </w:num>
  <w:num w:numId="2" w16cid:durableId="898050945">
    <w:abstractNumId w:val="0"/>
    <w:lvlOverride w:ilvl="0">
      <w:lvl w:ilvl="0">
        <w:numFmt w:val="decimal"/>
        <w:lvlText w:val="%1."/>
        <w:lvlJc w:val="left"/>
      </w:lvl>
    </w:lvlOverride>
  </w:num>
  <w:num w:numId="3" w16cid:durableId="2022194800">
    <w:abstractNumId w:val="0"/>
    <w:lvlOverride w:ilvl="0">
      <w:lvl w:ilvl="0">
        <w:numFmt w:val="decimal"/>
        <w:lvlText w:val="%1."/>
        <w:lvlJc w:val="left"/>
      </w:lvl>
    </w:lvlOverride>
  </w:num>
  <w:num w:numId="4" w16cid:durableId="1179851080">
    <w:abstractNumId w:val="0"/>
    <w:lvlOverride w:ilvl="0">
      <w:lvl w:ilvl="0">
        <w:numFmt w:val="decimal"/>
        <w:lvlText w:val="%1."/>
        <w:lvlJc w:val="left"/>
      </w:lvl>
    </w:lvlOverride>
  </w:num>
  <w:num w:numId="5" w16cid:durableId="1598515065">
    <w:abstractNumId w:val="0"/>
    <w:lvlOverride w:ilvl="0">
      <w:lvl w:ilvl="0">
        <w:numFmt w:val="decimal"/>
        <w:lvlText w:val="%1."/>
        <w:lvlJc w:val="left"/>
      </w:lvl>
    </w:lvlOverride>
  </w:num>
  <w:num w:numId="6" w16cid:durableId="54281344">
    <w:abstractNumId w:val="0"/>
    <w:lvlOverride w:ilvl="0">
      <w:lvl w:ilvl="0">
        <w:numFmt w:val="decimal"/>
        <w:lvlText w:val="%1."/>
        <w:lvlJc w:val="left"/>
      </w:lvl>
    </w:lvlOverride>
  </w:num>
  <w:num w:numId="7" w16cid:durableId="1940596948">
    <w:abstractNumId w:val="0"/>
    <w:lvlOverride w:ilvl="0">
      <w:lvl w:ilvl="0">
        <w:numFmt w:val="decimal"/>
        <w:lvlText w:val="%1."/>
        <w:lvlJc w:val="left"/>
      </w:lvl>
    </w:lvlOverride>
  </w:num>
  <w:num w:numId="8" w16cid:durableId="1172373989">
    <w:abstractNumId w:val="0"/>
    <w:lvlOverride w:ilvl="0">
      <w:lvl w:ilvl="0">
        <w:numFmt w:val="decimal"/>
        <w:lvlText w:val="%1."/>
        <w:lvlJc w:val="left"/>
      </w:lvl>
    </w:lvlOverride>
  </w:num>
  <w:num w:numId="9" w16cid:durableId="435641674">
    <w:abstractNumId w:val="3"/>
    <w:lvlOverride w:ilvl="0">
      <w:lvl w:ilvl="0">
        <w:numFmt w:val="decimal"/>
        <w:lvlText w:val="%1."/>
        <w:lvlJc w:val="left"/>
      </w:lvl>
    </w:lvlOverride>
  </w:num>
  <w:num w:numId="10" w16cid:durableId="1878545492">
    <w:abstractNumId w:val="3"/>
    <w:lvlOverride w:ilvl="0">
      <w:lvl w:ilvl="0">
        <w:numFmt w:val="decimal"/>
        <w:lvlText w:val="%1."/>
        <w:lvlJc w:val="left"/>
      </w:lvl>
    </w:lvlOverride>
  </w:num>
  <w:num w:numId="11" w16cid:durableId="811598053">
    <w:abstractNumId w:val="3"/>
    <w:lvlOverride w:ilvl="0">
      <w:lvl w:ilvl="0">
        <w:numFmt w:val="decimal"/>
        <w:lvlText w:val="%1."/>
        <w:lvlJc w:val="left"/>
      </w:lvl>
    </w:lvlOverride>
  </w:num>
  <w:num w:numId="12" w16cid:durableId="1685476755">
    <w:abstractNumId w:val="1"/>
    <w:lvlOverride w:ilvl="0">
      <w:lvl w:ilvl="0">
        <w:numFmt w:val="upperRoman"/>
        <w:lvlText w:val="%1."/>
        <w:lvlJc w:val="right"/>
      </w:lvl>
    </w:lvlOverride>
  </w:num>
  <w:num w:numId="13" w16cid:durableId="1101687106">
    <w:abstractNumId w:val="1"/>
    <w:lvlOverride w:ilvl="0">
      <w:lvl w:ilvl="0">
        <w:numFmt w:val="upperRoman"/>
        <w:lvlText w:val="%1."/>
        <w:lvlJc w:val="right"/>
      </w:lvl>
    </w:lvlOverride>
  </w:num>
  <w:num w:numId="14" w16cid:durableId="1313562433">
    <w:abstractNumId w:val="1"/>
    <w:lvlOverride w:ilvl="0">
      <w:lvl w:ilvl="0">
        <w:numFmt w:val="upperRoman"/>
        <w:lvlText w:val="%1."/>
        <w:lvlJc w:val="right"/>
      </w:lvl>
    </w:lvlOverride>
  </w:num>
  <w:num w:numId="15" w16cid:durableId="1111509353">
    <w:abstractNumId w:val="1"/>
    <w:lvlOverride w:ilvl="0">
      <w:lvl w:ilvl="0">
        <w:numFmt w:val="upperRoman"/>
        <w:lvlText w:val="%1."/>
        <w:lvlJc w:val="right"/>
      </w:lvl>
    </w:lvlOverride>
  </w:num>
  <w:num w:numId="16" w16cid:durableId="1333871173">
    <w:abstractNumId w:val="1"/>
    <w:lvlOverride w:ilvl="0">
      <w:lvl w:ilvl="0">
        <w:numFmt w:val="upperRoman"/>
        <w:lvlText w:val="%1."/>
        <w:lvlJc w:val="right"/>
      </w:lvl>
    </w:lvlOverride>
  </w:num>
  <w:num w:numId="17" w16cid:durableId="300886162">
    <w:abstractNumId w:val="2"/>
    <w:lvlOverride w:ilvl="0">
      <w:lvl w:ilvl="0">
        <w:numFmt w:val="upperRoman"/>
        <w:lvlText w:val="%1."/>
        <w:lvlJc w:val="right"/>
      </w:lvl>
    </w:lvlOverride>
  </w:num>
  <w:num w:numId="18" w16cid:durableId="1108430483">
    <w:abstractNumId w:val="2"/>
    <w:lvlOverride w:ilvl="0">
      <w:lvl w:ilvl="0">
        <w:numFmt w:val="upperRoman"/>
        <w:lvlText w:val="%1."/>
        <w:lvlJc w:val="right"/>
      </w:lvl>
    </w:lvlOverride>
  </w:num>
  <w:num w:numId="19" w16cid:durableId="1300842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FB"/>
    <w:rsid w:val="000B7045"/>
    <w:rsid w:val="00114BC7"/>
    <w:rsid w:val="001B6A37"/>
    <w:rsid w:val="00C21460"/>
    <w:rsid w:val="00FC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98C0"/>
  <w15:chartTrackingRefBased/>
  <w15:docId w15:val="{CBFAFC86-9E6F-4FAB-A2E0-7949AAAB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3FB"/>
    <w:rPr>
      <w:rFonts w:eastAsiaTheme="majorEastAsia" w:cstheme="majorBidi"/>
      <w:color w:val="272727" w:themeColor="text1" w:themeTint="D8"/>
    </w:rPr>
  </w:style>
  <w:style w:type="paragraph" w:styleId="Title">
    <w:name w:val="Title"/>
    <w:basedOn w:val="Normal"/>
    <w:next w:val="Normal"/>
    <w:link w:val="TitleChar"/>
    <w:uiPriority w:val="10"/>
    <w:qFormat/>
    <w:rsid w:val="00FC6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3FB"/>
    <w:pPr>
      <w:spacing w:before="160"/>
      <w:jc w:val="center"/>
    </w:pPr>
    <w:rPr>
      <w:i/>
      <w:iCs/>
      <w:color w:val="404040" w:themeColor="text1" w:themeTint="BF"/>
    </w:rPr>
  </w:style>
  <w:style w:type="character" w:customStyle="1" w:styleId="QuoteChar">
    <w:name w:val="Quote Char"/>
    <w:basedOn w:val="DefaultParagraphFont"/>
    <w:link w:val="Quote"/>
    <w:uiPriority w:val="29"/>
    <w:rsid w:val="00FC63FB"/>
    <w:rPr>
      <w:i/>
      <w:iCs/>
      <w:color w:val="404040" w:themeColor="text1" w:themeTint="BF"/>
    </w:rPr>
  </w:style>
  <w:style w:type="paragraph" w:styleId="ListParagraph">
    <w:name w:val="List Paragraph"/>
    <w:basedOn w:val="Normal"/>
    <w:uiPriority w:val="34"/>
    <w:qFormat/>
    <w:rsid w:val="00FC63FB"/>
    <w:pPr>
      <w:ind w:left="720"/>
      <w:contextualSpacing/>
    </w:pPr>
  </w:style>
  <w:style w:type="character" w:styleId="IntenseEmphasis">
    <w:name w:val="Intense Emphasis"/>
    <w:basedOn w:val="DefaultParagraphFont"/>
    <w:uiPriority w:val="21"/>
    <w:qFormat/>
    <w:rsid w:val="00FC63FB"/>
    <w:rPr>
      <w:i/>
      <w:iCs/>
      <w:color w:val="0F4761" w:themeColor="accent1" w:themeShade="BF"/>
    </w:rPr>
  </w:style>
  <w:style w:type="paragraph" w:styleId="IntenseQuote">
    <w:name w:val="Intense Quote"/>
    <w:basedOn w:val="Normal"/>
    <w:next w:val="Normal"/>
    <w:link w:val="IntenseQuoteChar"/>
    <w:uiPriority w:val="30"/>
    <w:qFormat/>
    <w:rsid w:val="00FC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3FB"/>
    <w:rPr>
      <w:i/>
      <w:iCs/>
      <w:color w:val="0F4761" w:themeColor="accent1" w:themeShade="BF"/>
    </w:rPr>
  </w:style>
  <w:style w:type="character" w:styleId="IntenseReference">
    <w:name w:val="Intense Reference"/>
    <w:basedOn w:val="DefaultParagraphFont"/>
    <w:uiPriority w:val="32"/>
    <w:qFormat/>
    <w:rsid w:val="00FC6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8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rie@ParkUptown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rie@ParkUptownS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2459</Words>
  <Characters>14018</Characters>
  <Application>Microsoft Office Word</Application>
  <DocSecurity>0</DocSecurity>
  <Lines>116</Lines>
  <Paragraphs>32</Paragraphs>
  <ScaleCrop>false</ScaleCrop>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Trussell</dc:creator>
  <cp:keywords/>
  <dc:description/>
  <cp:lastModifiedBy>Gerrie Trussell</cp:lastModifiedBy>
  <cp:revision>4</cp:revision>
  <dcterms:created xsi:type="dcterms:W3CDTF">2024-10-02T17:54:00Z</dcterms:created>
  <dcterms:modified xsi:type="dcterms:W3CDTF">2024-10-02T18:05:00Z</dcterms:modified>
</cp:coreProperties>
</file>